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黑体" w:eastAsia="黑体" w:cs="仿宋"/>
          <w:b/>
          <w:sz w:val="36"/>
          <w:szCs w:val="36"/>
        </w:rPr>
      </w:pPr>
      <w:r>
        <w:rPr>
          <w:rFonts w:hint="eastAsia" w:ascii="黑体" w:hAnsi="黑体" w:eastAsia="黑体" w:cs="仿宋"/>
          <w:b/>
          <w:sz w:val="36"/>
          <w:szCs w:val="36"/>
        </w:rPr>
        <w:t>杭州</w:t>
      </w:r>
      <w:r>
        <w:rPr>
          <w:rFonts w:ascii="黑体" w:hAnsi="黑体" w:eastAsia="黑体" w:cs="仿宋"/>
          <w:b/>
          <w:sz w:val="36"/>
          <w:szCs w:val="36"/>
        </w:rPr>
        <w:t>师范大学</w:t>
      </w:r>
      <w:r>
        <w:rPr>
          <w:rFonts w:hint="eastAsia" w:ascii="黑体" w:hAnsi="黑体" w:eastAsia="黑体" w:cs="仿宋"/>
          <w:b/>
          <w:sz w:val="36"/>
          <w:szCs w:val="36"/>
        </w:rPr>
        <w:t>“十四五”事业</w:t>
      </w:r>
      <w:r>
        <w:rPr>
          <w:rFonts w:ascii="黑体" w:hAnsi="黑体" w:eastAsia="黑体" w:cs="仿宋"/>
          <w:b/>
          <w:sz w:val="36"/>
          <w:szCs w:val="36"/>
        </w:rPr>
        <w:t>发展</w:t>
      </w:r>
      <w:r>
        <w:rPr>
          <w:rFonts w:hint="eastAsia" w:ascii="黑体" w:hAnsi="黑体" w:eastAsia="黑体" w:cs="仿宋"/>
          <w:b/>
          <w:sz w:val="36"/>
          <w:szCs w:val="36"/>
        </w:rPr>
        <w:t>规划</w:t>
      </w:r>
    </w:p>
    <w:p>
      <w:pPr>
        <w:spacing w:before="156" w:beforeLines="50" w:after="156" w:afterLines="50" w:line="360" w:lineRule="auto"/>
        <w:jc w:val="center"/>
        <w:rPr>
          <w:rFonts w:ascii="黑体" w:hAnsi="黑体" w:eastAsia="黑体" w:cs="仿宋"/>
          <w:b/>
          <w:sz w:val="36"/>
          <w:szCs w:val="36"/>
        </w:rPr>
      </w:pPr>
      <w:r>
        <w:rPr>
          <w:rFonts w:hint="eastAsia" w:ascii="黑体" w:hAnsi="黑体" w:eastAsia="黑体" w:cs="仿宋"/>
          <w:b/>
          <w:sz w:val="36"/>
          <w:szCs w:val="36"/>
        </w:rPr>
        <w:t>调整方案</w:t>
      </w:r>
    </w:p>
    <w:p>
      <w:pPr>
        <w:spacing w:before="156" w:beforeLines="50" w:after="156" w:afterLines="50" w:line="360" w:lineRule="auto"/>
        <w:jc w:val="center"/>
        <w:rPr>
          <w:rFonts w:ascii="黑体" w:hAnsi="黑体" w:eastAsia="黑体" w:cs="仿宋"/>
          <w:b/>
          <w:sz w:val="36"/>
          <w:szCs w:val="36"/>
        </w:rPr>
      </w:pPr>
    </w:p>
    <w:p>
      <w:pPr>
        <w:pStyle w:val="8"/>
        <w:spacing w:before="156" w:beforeLines="50" w:after="156" w:afterLines="50" w:line="360" w:lineRule="auto"/>
        <w:ind w:firstLine="480"/>
        <w:rPr>
          <w:rFonts w:ascii="仿宋" w:hAnsi="仿宋" w:eastAsia="仿宋" w:cs="仿宋"/>
          <w:bCs/>
          <w:sz w:val="24"/>
          <w:szCs w:val="24"/>
        </w:rPr>
      </w:pPr>
      <w:r>
        <w:rPr>
          <w:rFonts w:hint="eastAsia" w:ascii="仿宋" w:hAnsi="仿宋" w:eastAsia="仿宋" w:cs="仿宋"/>
          <w:bCs/>
          <w:sz w:val="24"/>
          <w:szCs w:val="24"/>
        </w:rPr>
        <w:t>为进一步</w:t>
      </w:r>
      <w:r>
        <w:rPr>
          <w:rFonts w:ascii="仿宋" w:hAnsi="仿宋" w:eastAsia="仿宋" w:cs="仿宋"/>
          <w:bCs/>
          <w:sz w:val="24"/>
          <w:szCs w:val="24"/>
        </w:rPr>
        <w:t>优化职能配置，整合资源，</w:t>
      </w:r>
      <w:r>
        <w:rPr>
          <w:rFonts w:hint="eastAsia" w:ascii="仿宋" w:hAnsi="仿宋" w:eastAsia="仿宋" w:cs="仿宋"/>
          <w:bCs/>
          <w:sz w:val="24"/>
          <w:szCs w:val="24"/>
        </w:rPr>
        <w:t>提高</w:t>
      </w:r>
      <w:r>
        <w:rPr>
          <w:rFonts w:ascii="仿宋" w:hAnsi="仿宋" w:eastAsia="仿宋" w:cs="仿宋"/>
          <w:bCs/>
          <w:sz w:val="24"/>
          <w:szCs w:val="24"/>
        </w:rPr>
        <w:t>效率效能，</w:t>
      </w:r>
      <w:r>
        <w:rPr>
          <w:rFonts w:hint="eastAsia" w:ascii="仿宋" w:hAnsi="仿宋" w:eastAsia="仿宋" w:cs="仿宋"/>
          <w:bCs/>
          <w:sz w:val="24"/>
          <w:szCs w:val="24"/>
        </w:rPr>
        <w:t>保障</w:t>
      </w:r>
      <w:r>
        <w:rPr>
          <w:rFonts w:ascii="仿宋" w:hAnsi="仿宋" w:eastAsia="仿宋" w:cs="仿宋"/>
          <w:bCs/>
          <w:sz w:val="24"/>
          <w:szCs w:val="24"/>
        </w:rPr>
        <w:t>学科专业建设，加快推进全国一流大学建设进程，</w:t>
      </w:r>
      <w:r>
        <w:rPr>
          <w:rFonts w:hint="eastAsia" w:ascii="仿宋" w:hAnsi="仿宋" w:eastAsia="仿宋" w:cs="仿宋"/>
          <w:bCs/>
          <w:sz w:val="24"/>
          <w:szCs w:val="24"/>
        </w:rPr>
        <w:t>学校近期集中进行了机构调整，部分机构</w:t>
      </w:r>
      <w:r>
        <w:rPr>
          <w:rFonts w:ascii="仿宋" w:hAnsi="仿宋" w:eastAsia="仿宋" w:cs="仿宋"/>
          <w:bCs/>
          <w:sz w:val="24"/>
          <w:szCs w:val="24"/>
        </w:rPr>
        <w:t>设置</w:t>
      </w:r>
      <w:r>
        <w:rPr>
          <w:rFonts w:hint="eastAsia" w:ascii="仿宋" w:hAnsi="仿宋" w:eastAsia="仿宋" w:cs="仿宋"/>
          <w:bCs/>
          <w:sz w:val="24"/>
          <w:szCs w:val="24"/>
        </w:rPr>
        <w:t>和职能发生了变化。为进一步优化学校“十四五”规划，确保“十四五”规划制定的科学性和可实施性，特制定本工作方案，对“十四五”规划进行调整完善。</w:t>
      </w:r>
    </w:p>
    <w:p>
      <w:pPr>
        <w:pStyle w:val="8"/>
        <w:numPr>
          <w:ilvl w:val="0"/>
          <w:numId w:val="1"/>
        </w:numPr>
        <w:spacing w:before="156" w:beforeLines="50" w:after="156" w:afterLines="50" w:line="360" w:lineRule="auto"/>
        <w:ind w:firstLine="723" w:firstLineChars="0"/>
        <w:rPr>
          <w:rFonts w:ascii="黑体" w:hAnsi="黑体" w:eastAsia="黑体" w:cs="仿宋"/>
          <w:b/>
          <w:sz w:val="32"/>
          <w:szCs w:val="32"/>
        </w:rPr>
      </w:pPr>
      <w:r>
        <w:rPr>
          <w:rFonts w:hint="eastAsia" w:ascii="黑体" w:hAnsi="黑体" w:eastAsia="黑体" w:cs="仿宋"/>
          <w:b/>
          <w:sz w:val="32"/>
          <w:szCs w:val="32"/>
        </w:rPr>
        <w:t>指导思想</w:t>
      </w:r>
    </w:p>
    <w:p>
      <w:pPr>
        <w:pStyle w:val="8"/>
        <w:spacing w:before="156" w:beforeLines="50" w:after="156" w:afterLines="50" w:line="360" w:lineRule="auto"/>
        <w:ind w:firstLine="480"/>
        <w:rPr>
          <w:rFonts w:ascii="仿宋" w:hAnsi="仿宋" w:eastAsia="仿宋" w:cs="仿宋"/>
          <w:bCs/>
          <w:sz w:val="24"/>
          <w:szCs w:val="24"/>
        </w:rPr>
      </w:pPr>
      <w:r>
        <w:rPr>
          <w:rFonts w:hint="eastAsia" w:ascii="仿宋" w:hAnsi="仿宋" w:eastAsia="仿宋" w:cs="仿宋"/>
          <w:bCs/>
          <w:sz w:val="24"/>
          <w:szCs w:val="24"/>
        </w:rPr>
        <w:t>以习近平新时代中国特色社会主义思想为指导，全面贯彻党的教育方针，落实立德树人根本任务，立足新发展阶段，贯彻新发展理念，坚持以高质量发展为主线，牢固树立“学术是大学之本、人才是大学之命”“教学是立校之本、科研是强校之路”的意识，坚持文理并重，坚持人文社会学科与自然学科协调发展，“筑牢立足点、培育增长点”，以构筑“大平台”、汇聚“大名师”、厚实“大文化”为主题，全面增强学校核心竞争力和综合实力，为建成实力强劲、特色鲜明、文化厚重的全国一流大学奠定更加坚实的基础。</w:t>
      </w:r>
    </w:p>
    <w:p>
      <w:pPr>
        <w:pStyle w:val="8"/>
        <w:numPr>
          <w:ilvl w:val="0"/>
          <w:numId w:val="1"/>
        </w:numPr>
        <w:spacing w:before="156" w:beforeLines="50" w:after="156" w:afterLines="50" w:line="360" w:lineRule="auto"/>
        <w:ind w:firstLine="723" w:firstLineChars="0"/>
        <w:rPr>
          <w:rFonts w:ascii="黑体" w:hAnsi="黑体" w:eastAsia="黑体" w:cs="仿宋"/>
          <w:b/>
          <w:sz w:val="32"/>
          <w:szCs w:val="32"/>
        </w:rPr>
      </w:pPr>
      <w:r>
        <w:rPr>
          <w:rFonts w:hint="eastAsia" w:ascii="黑体" w:hAnsi="黑体" w:eastAsia="黑体" w:cs="仿宋"/>
          <w:b/>
          <w:sz w:val="32"/>
          <w:szCs w:val="32"/>
        </w:rPr>
        <w:t>调整原则</w:t>
      </w:r>
    </w:p>
    <w:p>
      <w:pPr>
        <w:pStyle w:val="8"/>
        <w:spacing w:before="156" w:beforeLines="50" w:after="156" w:afterLines="50" w:line="360" w:lineRule="auto"/>
        <w:ind w:firstLine="562"/>
        <w:rPr>
          <w:rFonts w:ascii="楷体" w:hAnsi="楷体" w:eastAsia="楷体" w:cs="楷体"/>
          <w:b/>
          <w:sz w:val="28"/>
          <w:szCs w:val="28"/>
        </w:rPr>
      </w:pPr>
      <w:r>
        <w:rPr>
          <w:rFonts w:hint="eastAsia" w:ascii="楷体" w:hAnsi="楷体" w:eastAsia="楷体" w:cs="楷体"/>
          <w:b/>
          <w:sz w:val="28"/>
          <w:szCs w:val="28"/>
        </w:rPr>
        <w:t>（一）总体稳定、局部微调</w:t>
      </w:r>
    </w:p>
    <w:p>
      <w:pPr>
        <w:pStyle w:val="8"/>
        <w:spacing w:before="156" w:beforeLines="50" w:after="156" w:afterLines="50" w:line="360" w:lineRule="auto"/>
        <w:ind w:firstLine="480"/>
        <w:rPr>
          <w:rFonts w:ascii="仿宋" w:hAnsi="仿宋" w:eastAsia="仿宋" w:cs="仿宋"/>
          <w:bCs/>
          <w:sz w:val="24"/>
          <w:szCs w:val="24"/>
        </w:rPr>
      </w:pPr>
      <w:r>
        <w:rPr>
          <w:rFonts w:hint="eastAsia" w:ascii="仿宋" w:hAnsi="仿宋" w:eastAsia="仿宋" w:cs="仿宋"/>
          <w:bCs/>
          <w:sz w:val="24"/>
          <w:szCs w:val="24"/>
        </w:rPr>
        <w:t>坚持“十四五”规划的指导思想、发展战略、发展目标、重点任务和总体结构不变，局部调整完善相关“专项规划”的</w:t>
      </w:r>
      <w:r>
        <w:rPr>
          <w:rFonts w:ascii="仿宋" w:hAnsi="仿宋" w:eastAsia="仿宋" w:cs="仿宋"/>
          <w:bCs/>
          <w:sz w:val="24"/>
          <w:szCs w:val="24"/>
        </w:rPr>
        <w:t>牵头部门</w:t>
      </w:r>
      <w:r>
        <w:rPr>
          <w:rFonts w:hint="eastAsia" w:ascii="仿宋" w:hAnsi="仿宋" w:eastAsia="仿宋" w:cs="仿宋"/>
          <w:bCs/>
          <w:sz w:val="24"/>
          <w:szCs w:val="24"/>
        </w:rPr>
        <w:t>和“学院（附属医院）规划”的规划内容和指标设置。</w:t>
      </w:r>
    </w:p>
    <w:p>
      <w:pPr>
        <w:pStyle w:val="8"/>
        <w:spacing w:before="156" w:beforeLines="50" w:after="156" w:afterLines="50" w:line="360" w:lineRule="auto"/>
        <w:ind w:firstLine="562"/>
        <w:rPr>
          <w:rFonts w:ascii="楷体" w:hAnsi="楷体" w:eastAsia="楷体" w:cs="楷体"/>
          <w:b/>
          <w:sz w:val="28"/>
          <w:szCs w:val="28"/>
        </w:rPr>
      </w:pPr>
      <w:r>
        <w:rPr>
          <w:rFonts w:hint="eastAsia" w:ascii="楷体" w:hAnsi="楷体" w:eastAsia="楷体" w:cs="楷体"/>
          <w:b/>
          <w:sz w:val="28"/>
          <w:szCs w:val="28"/>
        </w:rPr>
        <w:t>（二）加强沟通，充分衔接</w:t>
      </w:r>
    </w:p>
    <w:p>
      <w:pPr>
        <w:pStyle w:val="8"/>
        <w:spacing w:before="156" w:beforeLines="50" w:after="156" w:afterLines="50" w:line="360" w:lineRule="auto"/>
        <w:ind w:firstLine="480"/>
        <w:rPr>
          <w:rFonts w:ascii="仿宋" w:hAnsi="仿宋" w:eastAsia="仿宋" w:cs="仿宋"/>
          <w:bCs/>
          <w:sz w:val="24"/>
          <w:szCs w:val="24"/>
        </w:rPr>
      </w:pPr>
      <w:r>
        <w:rPr>
          <w:rFonts w:hint="eastAsia" w:ascii="仿宋" w:hAnsi="仿宋" w:eastAsia="仿宋" w:cs="仿宋"/>
          <w:bCs/>
          <w:sz w:val="24"/>
          <w:szCs w:val="24"/>
        </w:rPr>
        <w:t>坚持目标统一、科学论证和民主决策，加强沟通，强化“总体</w:t>
      </w:r>
      <w:r>
        <w:rPr>
          <w:rFonts w:ascii="仿宋" w:hAnsi="仿宋" w:eastAsia="仿宋" w:cs="仿宋"/>
          <w:bCs/>
          <w:sz w:val="24"/>
          <w:szCs w:val="24"/>
        </w:rPr>
        <w:t>规划</w:t>
      </w:r>
      <w:r>
        <w:rPr>
          <w:rFonts w:hint="eastAsia" w:ascii="仿宋" w:hAnsi="仿宋" w:eastAsia="仿宋" w:cs="仿宋"/>
          <w:bCs/>
          <w:sz w:val="24"/>
          <w:szCs w:val="24"/>
        </w:rPr>
        <w:t>”和各“专项规划”、“学院（附属医院）规划”内容与指标分解的协同性与一致性，切实解决职能部门指标分解数据与学院上报数据不一致问题，确保“十四五”规划的科学性和可实施性。</w:t>
      </w:r>
    </w:p>
    <w:p>
      <w:pPr>
        <w:pStyle w:val="8"/>
        <w:spacing w:before="156" w:beforeLines="50" w:after="156" w:afterLines="50" w:line="360" w:lineRule="auto"/>
        <w:ind w:firstLine="562"/>
        <w:rPr>
          <w:rFonts w:ascii="楷体" w:hAnsi="楷体" w:eastAsia="楷体" w:cs="楷体"/>
          <w:b/>
          <w:sz w:val="28"/>
          <w:szCs w:val="28"/>
        </w:rPr>
      </w:pPr>
      <w:r>
        <w:rPr>
          <w:rFonts w:hint="eastAsia" w:ascii="楷体" w:hAnsi="楷体" w:eastAsia="楷体" w:cs="楷体"/>
          <w:b/>
          <w:sz w:val="28"/>
          <w:szCs w:val="28"/>
        </w:rPr>
        <w:t>（三）权责明晰，高质高效</w:t>
      </w:r>
    </w:p>
    <w:p>
      <w:pPr>
        <w:pStyle w:val="8"/>
        <w:spacing w:before="156" w:beforeLines="50" w:after="156" w:afterLines="50" w:line="360" w:lineRule="auto"/>
        <w:ind w:firstLine="480"/>
        <w:rPr>
          <w:rFonts w:ascii="仿宋" w:hAnsi="仿宋" w:eastAsia="仿宋" w:cs="仿宋"/>
          <w:bCs/>
          <w:sz w:val="24"/>
          <w:szCs w:val="24"/>
        </w:rPr>
      </w:pPr>
      <w:r>
        <w:rPr>
          <w:rFonts w:hint="eastAsia" w:ascii="仿宋" w:hAnsi="仿宋" w:eastAsia="仿宋" w:cs="仿宋"/>
          <w:bCs/>
          <w:sz w:val="24"/>
          <w:szCs w:val="24"/>
        </w:rPr>
        <w:t>各调整部门及负责人需强化权责意识，科学谋划，加强自身“十四五”规划调整的主动性与积极性，以学校创一流为愿景，切实解决影响学校发展的瓶颈问题和</w:t>
      </w:r>
      <w:r>
        <w:rPr>
          <w:rFonts w:ascii="仿宋" w:hAnsi="仿宋" w:eastAsia="仿宋" w:cs="仿宋"/>
          <w:bCs/>
          <w:sz w:val="24"/>
          <w:szCs w:val="24"/>
        </w:rPr>
        <w:t>主要障碍</w:t>
      </w:r>
      <w:r>
        <w:rPr>
          <w:rFonts w:hint="eastAsia" w:ascii="仿宋" w:hAnsi="仿宋" w:eastAsia="仿宋" w:cs="仿宋"/>
          <w:bCs/>
          <w:sz w:val="24"/>
          <w:szCs w:val="24"/>
        </w:rPr>
        <w:t>，高质量高效率完成“十四五”规划调整任务。</w:t>
      </w:r>
    </w:p>
    <w:p>
      <w:pPr>
        <w:pStyle w:val="8"/>
        <w:numPr>
          <w:ilvl w:val="0"/>
          <w:numId w:val="1"/>
        </w:numPr>
        <w:spacing w:before="156" w:beforeLines="50" w:after="156" w:afterLines="50" w:line="360" w:lineRule="auto"/>
        <w:ind w:firstLine="723" w:firstLineChars="0"/>
        <w:rPr>
          <w:rFonts w:ascii="黑体" w:hAnsi="黑体" w:eastAsia="黑体" w:cs="仿宋"/>
          <w:b/>
          <w:sz w:val="32"/>
          <w:szCs w:val="32"/>
        </w:rPr>
      </w:pPr>
      <w:r>
        <w:rPr>
          <w:rFonts w:hint="eastAsia" w:ascii="黑体" w:hAnsi="黑体" w:eastAsia="黑体" w:cs="仿宋"/>
          <w:b/>
          <w:sz w:val="32"/>
          <w:szCs w:val="32"/>
        </w:rPr>
        <w:t>调整依据</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规划调整工作</w:t>
      </w:r>
      <w:r>
        <w:rPr>
          <w:rFonts w:ascii="仿宋" w:hAnsi="仿宋" w:eastAsia="仿宋" w:cs="仿宋"/>
          <w:sz w:val="24"/>
          <w:szCs w:val="24"/>
        </w:rPr>
        <w:t>主要</w:t>
      </w:r>
      <w:r>
        <w:rPr>
          <w:rFonts w:hint="eastAsia" w:ascii="仿宋" w:hAnsi="仿宋" w:eastAsia="仿宋" w:cs="仿宋"/>
          <w:sz w:val="24"/>
          <w:szCs w:val="24"/>
        </w:rPr>
        <w:t>依据：</w:t>
      </w:r>
    </w:p>
    <w:p>
      <w:pPr>
        <w:pStyle w:val="8"/>
        <w:spacing w:before="156" w:beforeLines="50" w:after="156" w:afterLines="50" w:line="360" w:lineRule="auto"/>
        <w:ind w:firstLine="48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《中共杭州师范大学委员会 杭州师范大学 关于印发 2021 年机构调整及领导职数配置 方案的通知》（杭师大党委发〔2021〕15 号）；</w:t>
      </w:r>
    </w:p>
    <w:p>
      <w:pPr>
        <w:pStyle w:val="8"/>
        <w:spacing w:before="156" w:beforeLines="50" w:after="156" w:afterLines="50" w:line="360" w:lineRule="auto"/>
        <w:ind w:firstLine="48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 xml:space="preserve"> 《党委</w:t>
      </w:r>
      <w:r>
        <w:rPr>
          <w:rFonts w:ascii="仿宋" w:hAnsi="仿宋" w:eastAsia="仿宋" w:cs="仿宋"/>
          <w:sz w:val="24"/>
          <w:szCs w:val="24"/>
        </w:rPr>
        <w:t>办公室</w:t>
      </w:r>
      <w:r>
        <w:rPr>
          <w:rFonts w:hint="eastAsia" w:ascii="仿宋" w:hAnsi="仿宋" w:eastAsia="仿宋" w:cs="仿宋"/>
          <w:sz w:val="24"/>
          <w:szCs w:val="24"/>
        </w:rPr>
        <w:t xml:space="preserve"> 校长办公室 关于印发“十四五”事业</w:t>
      </w:r>
      <w:r>
        <w:rPr>
          <w:rFonts w:ascii="仿宋" w:hAnsi="仿宋" w:eastAsia="仿宋" w:cs="仿宋"/>
          <w:sz w:val="24"/>
          <w:szCs w:val="24"/>
        </w:rPr>
        <w:t>发展规划编制工</w:t>
      </w:r>
      <w:r>
        <w:rPr>
          <w:rFonts w:hint="eastAsia" w:ascii="仿宋" w:hAnsi="仿宋" w:eastAsia="仿宋" w:cs="仿宋"/>
          <w:sz w:val="24"/>
          <w:szCs w:val="24"/>
        </w:rPr>
        <w:t>作方案的通知》（杭师大党办〔2020〕18 号）；</w:t>
      </w:r>
    </w:p>
    <w:p>
      <w:pPr>
        <w:pStyle w:val="8"/>
        <w:spacing w:before="156" w:beforeLines="50" w:after="156" w:afterLines="50" w:line="360" w:lineRule="auto"/>
        <w:ind w:firstLine="480"/>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《杭州师范大学“十四五”事业发展规划》汇编。</w:t>
      </w:r>
      <w:bookmarkStart w:id="0" w:name="_GoBack"/>
      <w:bookmarkEnd w:id="0"/>
    </w:p>
    <w:p>
      <w:pPr>
        <w:pStyle w:val="8"/>
        <w:numPr>
          <w:ilvl w:val="0"/>
          <w:numId w:val="1"/>
        </w:numPr>
        <w:spacing w:before="156" w:beforeLines="50" w:after="156" w:afterLines="50" w:line="360" w:lineRule="auto"/>
        <w:ind w:firstLine="723" w:firstLineChars="0"/>
        <w:rPr>
          <w:rFonts w:ascii="黑体" w:hAnsi="黑体" w:eastAsia="黑体" w:cs="仿宋"/>
          <w:b/>
          <w:sz w:val="32"/>
          <w:szCs w:val="32"/>
        </w:rPr>
      </w:pPr>
      <w:r>
        <w:rPr>
          <w:rFonts w:hint="eastAsia" w:ascii="黑体" w:hAnsi="黑体" w:eastAsia="黑体" w:cs="仿宋"/>
          <w:b/>
          <w:sz w:val="32"/>
          <w:szCs w:val="32"/>
        </w:rPr>
        <w:t>调整内容</w:t>
      </w:r>
    </w:p>
    <w:p>
      <w:pPr>
        <w:pStyle w:val="8"/>
        <w:spacing w:before="156" w:beforeLines="50" w:after="156" w:afterLines="50" w:line="360" w:lineRule="auto"/>
        <w:ind w:firstLine="562"/>
        <w:rPr>
          <w:rFonts w:ascii="楷体" w:hAnsi="楷体" w:eastAsia="楷体" w:cs="楷体"/>
          <w:b/>
          <w:sz w:val="28"/>
          <w:szCs w:val="28"/>
        </w:rPr>
      </w:pPr>
      <w:r>
        <w:rPr>
          <w:rFonts w:hint="eastAsia" w:ascii="楷体" w:hAnsi="楷体" w:eastAsia="楷体" w:cs="楷体"/>
          <w:b/>
          <w:sz w:val="28"/>
          <w:szCs w:val="28"/>
        </w:rPr>
        <w:t>（一）关于专项规划调整</w:t>
      </w:r>
    </w:p>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textAlignment w:val="auto"/>
        <w:rPr>
          <w:rFonts w:hint="eastAsia" w:ascii="仿宋" w:hAnsi="仿宋" w:eastAsia="仿宋" w:cs="仿宋"/>
          <w:sz w:val="24"/>
          <w:szCs w:val="24"/>
        </w:rPr>
      </w:pPr>
      <w:r>
        <w:rPr>
          <w:rFonts w:hint="eastAsia" w:ascii="仿宋" w:hAnsi="仿宋" w:eastAsia="仿宋" w:cs="仿宋"/>
          <w:sz w:val="24"/>
          <w:szCs w:val="24"/>
        </w:rPr>
        <w:t>1.各专项规划目标</w:t>
      </w:r>
      <w:r>
        <w:rPr>
          <w:rFonts w:ascii="仿宋" w:hAnsi="仿宋" w:eastAsia="仿宋" w:cs="仿宋"/>
          <w:sz w:val="24"/>
          <w:szCs w:val="24"/>
        </w:rPr>
        <w:t>和内容</w:t>
      </w:r>
      <w:r>
        <w:rPr>
          <w:rFonts w:hint="eastAsia" w:ascii="仿宋" w:hAnsi="仿宋" w:eastAsia="仿宋" w:cs="仿宋"/>
          <w:sz w:val="24"/>
          <w:szCs w:val="24"/>
        </w:rPr>
        <w:t>不变，以下专项规划牵头</w:t>
      </w:r>
      <w:r>
        <w:rPr>
          <w:rFonts w:ascii="仿宋" w:hAnsi="仿宋" w:eastAsia="仿宋" w:cs="仿宋"/>
          <w:sz w:val="24"/>
          <w:szCs w:val="24"/>
        </w:rPr>
        <w:t>部门和牵头</w:t>
      </w:r>
      <w:r>
        <w:rPr>
          <w:rFonts w:hint="eastAsia" w:ascii="仿宋" w:hAnsi="仿宋" w:eastAsia="仿宋" w:cs="仿宋"/>
          <w:sz w:val="24"/>
          <w:szCs w:val="24"/>
        </w:rPr>
        <w:t>负责人进行调整：</w:t>
      </w:r>
    </w:p>
    <w:tbl>
      <w:tblPr>
        <w:tblStyle w:val="5"/>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12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222" w:type="dxa"/>
            <w:gridSpan w:val="3"/>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黑体" w:hAnsi="黑体" w:eastAsia="黑体" w:cs="仿宋"/>
                <w:b/>
                <w:sz w:val="24"/>
                <w:szCs w:val="24"/>
              </w:rPr>
            </w:pPr>
            <w:r>
              <w:rPr>
                <w:rFonts w:hint="eastAsia" w:ascii="黑体" w:hAnsi="黑体" w:eastAsia="黑体" w:cs="仿宋"/>
                <w:b/>
                <w:sz w:val="24"/>
                <w:szCs w:val="24"/>
              </w:rPr>
              <w:t>专项</w:t>
            </w:r>
            <w:r>
              <w:rPr>
                <w:rFonts w:ascii="黑体" w:hAnsi="黑体" w:eastAsia="黑体" w:cs="仿宋"/>
                <w:b/>
                <w:sz w:val="24"/>
                <w:szCs w:val="24"/>
              </w:rPr>
              <w:t>规划调整情况表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5"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4"/>
                <w:szCs w:val="24"/>
              </w:rPr>
            </w:pPr>
            <w:r>
              <w:rPr>
                <w:rFonts w:hint="eastAsia" w:ascii="仿宋" w:hAnsi="仿宋" w:eastAsia="仿宋" w:cs="仿宋"/>
                <w:b/>
                <w:sz w:val="24"/>
                <w:szCs w:val="24"/>
              </w:rPr>
              <w:t>需调整</w:t>
            </w:r>
            <w:r>
              <w:rPr>
                <w:rFonts w:ascii="仿宋" w:hAnsi="仿宋" w:eastAsia="仿宋" w:cs="仿宋"/>
                <w:b/>
                <w:sz w:val="24"/>
                <w:szCs w:val="24"/>
              </w:rPr>
              <w:t>专项规划</w:t>
            </w:r>
          </w:p>
        </w:tc>
        <w:tc>
          <w:tcPr>
            <w:tcW w:w="312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4"/>
                <w:szCs w:val="24"/>
              </w:rPr>
            </w:pPr>
            <w:r>
              <w:rPr>
                <w:rFonts w:hint="eastAsia" w:ascii="仿宋" w:hAnsi="仿宋" w:eastAsia="仿宋" w:cs="仿宋"/>
                <w:b/>
                <w:sz w:val="24"/>
                <w:szCs w:val="24"/>
              </w:rPr>
              <w:t>调整</w:t>
            </w:r>
            <w:r>
              <w:rPr>
                <w:rFonts w:ascii="仿宋" w:hAnsi="仿宋" w:eastAsia="仿宋" w:cs="仿宋"/>
                <w:b/>
                <w:sz w:val="24"/>
                <w:szCs w:val="24"/>
              </w:rPr>
              <w:t>后牵头部门</w:t>
            </w:r>
          </w:p>
        </w:tc>
        <w:tc>
          <w:tcPr>
            <w:tcW w:w="2694"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4"/>
                <w:szCs w:val="24"/>
              </w:rPr>
            </w:pPr>
            <w:r>
              <w:rPr>
                <w:rFonts w:hint="eastAsia" w:ascii="仿宋" w:hAnsi="仿宋" w:eastAsia="仿宋" w:cs="仿宋"/>
                <w:b/>
                <w:sz w:val="24"/>
                <w:szCs w:val="24"/>
              </w:rPr>
              <w:t>调整</w:t>
            </w:r>
            <w:r>
              <w:rPr>
                <w:rFonts w:ascii="仿宋" w:hAnsi="仿宋" w:eastAsia="仿宋" w:cs="仿宋"/>
                <w:b/>
                <w:sz w:val="24"/>
                <w:szCs w:val="24"/>
              </w:rPr>
              <w:t>后</w:t>
            </w:r>
            <w:r>
              <w:rPr>
                <w:rFonts w:hint="eastAsia" w:ascii="仿宋" w:hAnsi="仿宋" w:eastAsia="仿宋" w:cs="仿宋"/>
                <w:b/>
                <w:sz w:val="24"/>
                <w:szCs w:val="24"/>
              </w:rPr>
              <w:t>牵头</w:t>
            </w:r>
            <w:r>
              <w:rPr>
                <w:rFonts w:ascii="仿宋" w:hAnsi="仿宋" w:eastAsia="仿宋" w:cs="仿宋"/>
                <w:b/>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5"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1.学科建设发展规划</w:t>
            </w:r>
          </w:p>
        </w:tc>
        <w:tc>
          <w:tcPr>
            <w:tcW w:w="312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发展规划处</w:t>
            </w:r>
          </w:p>
        </w:tc>
        <w:tc>
          <w:tcPr>
            <w:tcW w:w="2694"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ascii="仿宋" w:hAnsi="仿宋" w:eastAsia="仿宋" w:cs="仿宋"/>
                <w:b/>
                <w:sz w:val="28"/>
                <w:szCs w:val="28"/>
              </w:rPr>
            </w:pPr>
            <w:r>
              <w:rPr>
                <w:rFonts w:hint="eastAsia" w:ascii="仿宋" w:hAnsi="仿宋" w:eastAsia="仿宋" w:cs="仿宋"/>
                <w:sz w:val="24"/>
                <w:szCs w:val="24"/>
              </w:rPr>
              <w:t>孙德芳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2.科学研究发展规划</w:t>
            </w:r>
          </w:p>
        </w:tc>
        <w:tc>
          <w:tcPr>
            <w:tcW w:w="312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科研处</w:t>
            </w:r>
          </w:p>
        </w:tc>
        <w:tc>
          <w:tcPr>
            <w:tcW w:w="2694"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ascii="仿宋" w:hAnsi="仿宋" w:eastAsia="仿宋" w:cs="仿宋"/>
                <w:b/>
                <w:sz w:val="28"/>
                <w:szCs w:val="28"/>
              </w:rPr>
            </w:pPr>
            <w:r>
              <w:rPr>
                <w:rFonts w:hint="eastAsia" w:ascii="仿宋" w:hAnsi="仿宋" w:eastAsia="仿宋" w:cs="仿宋"/>
                <w:sz w:val="24"/>
                <w:szCs w:val="24"/>
              </w:rPr>
              <w:t>张杭君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5"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3.国际化发展规划</w:t>
            </w:r>
          </w:p>
        </w:tc>
        <w:tc>
          <w:tcPr>
            <w:tcW w:w="312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国际交流合作处（港澳台事务办公室）</w:t>
            </w:r>
          </w:p>
        </w:tc>
        <w:tc>
          <w:tcPr>
            <w:tcW w:w="2694"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汪学磊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05"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4.服务保障发展规划</w:t>
            </w:r>
          </w:p>
        </w:tc>
        <w:tc>
          <w:tcPr>
            <w:tcW w:w="3123"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textAlignment w:val="auto"/>
              <w:rPr>
                <w:rFonts w:ascii="仿宋" w:hAnsi="仿宋" w:eastAsia="仿宋" w:cs="仿宋"/>
                <w:b/>
                <w:sz w:val="28"/>
                <w:szCs w:val="28"/>
              </w:rPr>
            </w:pPr>
            <w:r>
              <w:rPr>
                <w:rFonts w:hint="eastAsia" w:ascii="仿宋" w:hAnsi="仿宋" w:eastAsia="仿宋" w:cs="仿宋"/>
                <w:sz w:val="24"/>
                <w:szCs w:val="24"/>
              </w:rPr>
              <w:t>公共事务管理与校园建设处</w:t>
            </w:r>
          </w:p>
        </w:tc>
        <w:tc>
          <w:tcPr>
            <w:tcW w:w="2694" w:type="dxa"/>
          </w:tcPr>
          <w:p>
            <w:pPr>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center"/>
              <w:textAlignment w:val="auto"/>
              <w:rPr>
                <w:rFonts w:ascii="仿宋" w:hAnsi="仿宋" w:eastAsia="仿宋" w:cs="仿宋"/>
                <w:b/>
                <w:sz w:val="28"/>
                <w:szCs w:val="28"/>
              </w:rPr>
            </w:pPr>
            <w:r>
              <w:rPr>
                <w:rFonts w:hint="eastAsia" w:ascii="仿宋" w:hAnsi="仿宋" w:eastAsia="仿宋" w:cs="仿宋"/>
                <w:sz w:val="24"/>
                <w:szCs w:val="24"/>
              </w:rPr>
              <w:t>陈永强</w:t>
            </w:r>
          </w:p>
        </w:tc>
      </w:tr>
    </w:tbl>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仿宋" w:hAnsi="仿宋" w:eastAsia="仿宋" w:cs="仿宋"/>
          <w:sz w:val="24"/>
          <w:szCs w:val="24"/>
        </w:rPr>
      </w:pPr>
      <w:r>
        <w:rPr>
          <w:rFonts w:hint="eastAsia" w:ascii="仿宋" w:hAnsi="仿宋" w:eastAsia="仿宋" w:cs="仿宋"/>
          <w:sz w:val="24"/>
          <w:szCs w:val="24"/>
        </w:rPr>
        <w:t>2.各专项规划还</w:t>
      </w:r>
      <w:r>
        <w:rPr>
          <w:rFonts w:ascii="仿宋" w:hAnsi="仿宋" w:eastAsia="仿宋" w:cs="仿宋"/>
          <w:sz w:val="24"/>
          <w:szCs w:val="24"/>
        </w:rPr>
        <w:t>需</w:t>
      </w:r>
      <w:r>
        <w:rPr>
          <w:rFonts w:hint="eastAsia" w:ascii="仿宋" w:hAnsi="仿宋" w:eastAsia="仿宋" w:cs="仿宋"/>
          <w:sz w:val="24"/>
          <w:szCs w:val="24"/>
        </w:rPr>
        <w:t>进一步细化的指标分解任务：</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39"/>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专规</w:t>
            </w:r>
          </w:p>
        </w:tc>
        <w:tc>
          <w:tcPr>
            <w:tcW w:w="1739"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负责部门</w:t>
            </w: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任务清单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教师队伍</w:t>
            </w:r>
          </w:p>
        </w:tc>
        <w:tc>
          <w:tcPr>
            <w:tcW w:w="173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人事处</w:t>
            </w: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各</w:t>
            </w:r>
            <w:r>
              <w:rPr>
                <w:rFonts w:ascii="仿宋" w:hAnsi="仿宋" w:eastAsia="仿宋" w:cs="仿宋"/>
                <w:sz w:val="24"/>
                <w:szCs w:val="24"/>
              </w:rPr>
              <w:t>相关</w:t>
            </w:r>
            <w:r>
              <w:rPr>
                <w:rFonts w:hint="eastAsia" w:ascii="仿宋" w:hAnsi="仿宋" w:eastAsia="仿宋" w:cs="仿宋"/>
                <w:sz w:val="24"/>
                <w:szCs w:val="24"/>
              </w:rPr>
              <w:t>指标的部门年度分解。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p>
        </w:tc>
        <w:tc>
          <w:tcPr>
            <w:tcW w:w="173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sz w:val="24"/>
                <w:szCs w:val="24"/>
              </w:rPr>
            </w:pP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bidi="ar"/>
              </w:rPr>
              <w:t>国际、国家级学术组织或教学组织成员（人）</w:t>
            </w:r>
            <w:r>
              <w:rPr>
                <w:rFonts w:hint="eastAsia" w:ascii="仿宋" w:hAnsi="仿宋" w:eastAsia="仿宋" w:cs="仿宋"/>
                <w:sz w:val="24"/>
                <w:szCs w:val="24"/>
              </w:rPr>
              <w:t>” 指标的学院分解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教育教学</w:t>
            </w:r>
          </w:p>
        </w:tc>
        <w:tc>
          <w:tcPr>
            <w:tcW w:w="173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教务处</w:t>
            </w: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各相关指标的部门年度分解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p>
        </w:tc>
        <w:tc>
          <w:tcPr>
            <w:tcW w:w="173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sz w:val="24"/>
                <w:szCs w:val="24"/>
              </w:rPr>
            </w:pP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学院各相关指标的“十三五”末值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p>
        </w:tc>
        <w:tc>
          <w:tcPr>
            <w:tcW w:w="1739"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学工部</w:t>
            </w: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“本科生毕业生就业率（%）”和“本科毕业生深造率（其中“双一流”及国（境）外高校考研率）（%）”指标的部门年度分解。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学科建设</w:t>
            </w:r>
          </w:p>
        </w:tc>
        <w:tc>
          <w:tcPr>
            <w:tcW w:w="1739"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发展规划处</w:t>
            </w: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各相关指标的学院分解。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科学研究</w:t>
            </w:r>
          </w:p>
        </w:tc>
        <w:tc>
          <w:tcPr>
            <w:tcW w:w="173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sz w:val="24"/>
                <w:szCs w:val="24"/>
              </w:rPr>
            </w:pPr>
            <w:r>
              <w:rPr>
                <w:rFonts w:hint="eastAsia" w:ascii="仿宋" w:hAnsi="仿宋" w:eastAsia="仿宋" w:cs="仿宋"/>
                <w:sz w:val="24"/>
                <w:szCs w:val="24"/>
              </w:rPr>
              <w:t>科研处</w:t>
            </w: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各相关指标的学院“十三五”末值和“十四五”目标值。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4" w:type="dxa"/>
            <w:vMerge w:val="continue"/>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p>
        </w:tc>
        <w:tc>
          <w:tcPr>
            <w:tcW w:w="1739" w:type="dxa"/>
            <w:vMerge w:val="continue"/>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p>
        </w:tc>
        <w:tc>
          <w:tcPr>
            <w:tcW w:w="5093"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sz w:val="24"/>
                <w:szCs w:val="24"/>
              </w:rPr>
            </w:pPr>
            <w:r>
              <w:rPr>
                <w:rFonts w:hint="eastAsia" w:ascii="仿宋" w:hAnsi="仿宋" w:eastAsia="仿宋" w:cs="仿宋"/>
                <w:sz w:val="24"/>
                <w:szCs w:val="24"/>
              </w:rPr>
              <w:t>“新增教育部高等学校科学研究优秀成果奖（人文社会科学）（项）”和“省级以上创新团队（个）”指标的部门年度分解和学院分解。</w:t>
            </w:r>
          </w:p>
        </w:tc>
      </w:tr>
    </w:tbl>
    <w:p>
      <w:pPr>
        <w:spacing w:before="156" w:beforeLines="50" w:after="156" w:afterLines="50" w:line="360" w:lineRule="auto"/>
        <w:ind w:firstLine="422" w:firstLineChars="150"/>
        <w:rPr>
          <w:rFonts w:ascii="楷体" w:hAnsi="楷体" w:eastAsia="楷体" w:cs="楷体"/>
          <w:b/>
          <w:sz w:val="28"/>
          <w:szCs w:val="28"/>
        </w:rPr>
      </w:pPr>
      <w:r>
        <w:rPr>
          <w:rFonts w:hint="eastAsia" w:ascii="楷体" w:hAnsi="楷体" w:eastAsia="楷体" w:cs="楷体"/>
          <w:b/>
          <w:sz w:val="28"/>
          <w:szCs w:val="28"/>
        </w:rPr>
        <w:t>（二）关于学院（附属医院）规划调整</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6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两类</w:t>
            </w:r>
            <w:r>
              <w:rPr>
                <w:rFonts w:ascii="仿宋" w:hAnsi="仿宋" w:eastAsia="仿宋" w:cs="仿宋"/>
                <w:b/>
                <w:bCs/>
                <w:sz w:val="24"/>
                <w:szCs w:val="24"/>
              </w:rPr>
              <w:t>学院</w:t>
            </w:r>
          </w:p>
        </w:tc>
        <w:tc>
          <w:tcPr>
            <w:tcW w:w="3666"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学院名称</w:t>
            </w:r>
          </w:p>
        </w:tc>
        <w:tc>
          <w:tcPr>
            <w:tcW w:w="2766" w:type="dxa"/>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调整</w:t>
            </w:r>
            <w:r>
              <w:rPr>
                <w:rFonts w:ascii="仿宋" w:hAnsi="仿宋" w:eastAsia="仿宋" w:cs="仿宋"/>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1864"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调整</w:t>
            </w:r>
            <w:r>
              <w:rPr>
                <w:rFonts w:ascii="仿宋" w:hAnsi="仿宋" w:eastAsia="仿宋" w:cs="仿宋"/>
                <w:b/>
                <w:bCs/>
                <w:sz w:val="24"/>
                <w:szCs w:val="24"/>
              </w:rPr>
              <w:t>型学院</w:t>
            </w:r>
          </w:p>
        </w:tc>
        <w:tc>
          <w:tcPr>
            <w:tcW w:w="3666"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hint="eastAsia" w:ascii="仿宋" w:hAnsi="仿宋" w:eastAsia="仿宋" w:cs="仿宋"/>
                <w:b/>
                <w:bCs/>
                <w:sz w:val="24"/>
                <w:szCs w:val="24"/>
              </w:rPr>
            </w:pPr>
            <w:r>
              <w:rPr>
                <w:rFonts w:hint="eastAsia" w:ascii="仿宋" w:hAnsi="仿宋" w:eastAsia="仿宋" w:cs="仿宋"/>
                <w:sz w:val="24"/>
                <w:szCs w:val="24"/>
              </w:rPr>
              <w:t>经济学院、公共管理学院、阿里巴巴商学院、经亨颐教育学院、材料与化学化工学院、信息</w:t>
            </w:r>
            <w:r>
              <w:rPr>
                <w:rFonts w:ascii="仿宋" w:hAnsi="仿宋" w:eastAsia="仿宋" w:cs="仿宋"/>
                <w:sz w:val="24"/>
                <w:szCs w:val="24"/>
              </w:rPr>
              <w:t>科学与技术</w:t>
            </w:r>
            <w:r>
              <w:rPr>
                <w:rFonts w:hint="eastAsia" w:ascii="仿宋" w:hAnsi="仿宋" w:eastAsia="仿宋" w:cs="仿宋"/>
                <w:sz w:val="24"/>
                <w:szCs w:val="24"/>
              </w:rPr>
              <w:t>学院、文化创意与传媒学院、人文学院、</w:t>
            </w:r>
            <w:r>
              <w:rPr>
                <w:rFonts w:ascii="仿宋" w:hAnsi="仿宋" w:eastAsia="仿宋" w:cs="仿宋"/>
                <w:sz w:val="24"/>
                <w:szCs w:val="24"/>
              </w:rPr>
              <w:t>马克思主义学院</w:t>
            </w:r>
          </w:p>
        </w:tc>
        <w:tc>
          <w:tcPr>
            <w:tcW w:w="2766"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b/>
                <w:bCs/>
                <w:sz w:val="24"/>
                <w:szCs w:val="24"/>
              </w:rPr>
            </w:pPr>
            <w:r>
              <w:rPr>
                <w:rFonts w:hint="eastAsia" w:ascii="仿宋" w:hAnsi="仿宋" w:eastAsia="仿宋" w:cs="仿宋"/>
                <w:sz w:val="24"/>
                <w:szCs w:val="24"/>
              </w:rPr>
              <w:t>充分与专项规划牵头部门沟通协调，重新调整和完善学院发展规划与学院指标分解数据，并汇总</w:t>
            </w:r>
            <w:r>
              <w:rPr>
                <w:rFonts w:hint="eastAsia" w:ascii="仿宋" w:hAnsi="仿宋" w:eastAsia="仿宋" w:cs="仿宋"/>
                <w:sz w:val="24"/>
                <w:szCs w:val="24"/>
                <w:lang w:eastAsia="zh-CN"/>
              </w:rPr>
              <w:t>发展规划处</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4"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jc w:val="center"/>
              <w:textAlignment w:val="auto"/>
              <w:rPr>
                <w:rFonts w:ascii="仿宋" w:hAnsi="仿宋" w:eastAsia="仿宋" w:cs="仿宋"/>
                <w:b/>
                <w:bCs/>
                <w:sz w:val="24"/>
                <w:szCs w:val="24"/>
              </w:rPr>
            </w:pPr>
            <w:r>
              <w:rPr>
                <w:rFonts w:hint="eastAsia" w:ascii="仿宋" w:hAnsi="仿宋" w:eastAsia="仿宋" w:cs="仿宋"/>
                <w:b/>
                <w:bCs/>
                <w:sz w:val="24"/>
                <w:szCs w:val="24"/>
              </w:rPr>
              <w:t>新设学院</w:t>
            </w:r>
          </w:p>
        </w:tc>
        <w:tc>
          <w:tcPr>
            <w:tcW w:w="3666"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b/>
                <w:bCs/>
                <w:sz w:val="24"/>
                <w:szCs w:val="24"/>
              </w:rPr>
            </w:pPr>
            <w:r>
              <w:rPr>
                <w:rFonts w:hint="eastAsia" w:ascii="仿宋" w:hAnsi="仿宋" w:eastAsia="仿宋" w:cs="仿宋"/>
                <w:sz w:val="24"/>
                <w:szCs w:val="24"/>
              </w:rPr>
              <w:t>数学学院、物理学院、基础医学院、公共卫生学院、药学院、护理学院、临床医学院、口腔医学院、国际教育学院（国际学生管理办公室）/哈尔科夫学院</w:t>
            </w:r>
          </w:p>
        </w:tc>
        <w:tc>
          <w:tcPr>
            <w:tcW w:w="2766" w:type="dxa"/>
            <w:vAlign w:val="center"/>
          </w:tcPr>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ind w:firstLine="0" w:firstLineChars="0"/>
              <w:textAlignment w:val="auto"/>
              <w:rPr>
                <w:rFonts w:ascii="仿宋" w:hAnsi="仿宋" w:eastAsia="仿宋" w:cs="仿宋"/>
                <w:b/>
                <w:bCs/>
                <w:sz w:val="24"/>
                <w:szCs w:val="24"/>
              </w:rPr>
            </w:pPr>
            <w:r>
              <w:rPr>
                <w:rFonts w:hint="eastAsia" w:ascii="仿宋" w:hAnsi="仿宋" w:eastAsia="仿宋" w:cs="仿宋"/>
                <w:sz w:val="24"/>
                <w:szCs w:val="24"/>
              </w:rPr>
              <w:t>充分与专项规划牵头部门沟通协调，提交学院发展规划与学院指标分解数据，并汇总</w:t>
            </w:r>
            <w:r>
              <w:rPr>
                <w:rFonts w:hint="eastAsia" w:ascii="仿宋" w:hAnsi="仿宋" w:eastAsia="仿宋" w:cs="仿宋"/>
                <w:sz w:val="24"/>
                <w:szCs w:val="24"/>
                <w:lang w:eastAsia="zh-CN"/>
              </w:rPr>
              <w:t>发展规划处</w:t>
            </w:r>
            <w:r>
              <w:rPr>
                <w:rFonts w:hint="eastAsia" w:ascii="仿宋" w:hAnsi="仿宋" w:eastAsia="仿宋" w:cs="仿宋"/>
                <w:sz w:val="24"/>
                <w:szCs w:val="24"/>
              </w:rPr>
              <w:t>。</w:t>
            </w:r>
          </w:p>
        </w:tc>
      </w:tr>
    </w:tbl>
    <w:p>
      <w:pPr>
        <w:pStyle w:val="8"/>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textAlignment w:val="auto"/>
        <w:rPr>
          <w:rFonts w:ascii="仿宋" w:hAnsi="仿宋" w:eastAsia="仿宋" w:cs="仿宋"/>
          <w:b/>
          <w:sz w:val="28"/>
          <w:szCs w:val="28"/>
        </w:rPr>
      </w:pPr>
      <w:r>
        <w:rPr>
          <w:rFonts w:hint="eastAsia" w:ascii="仿宋" w:hAnsi="仿宋" w:eastAsia="仿宋" w:cs="仿宋"/>
          <w:sz w:val="24"/>
          <w:szCs w:val="24"/>
        </w:rPr>
        <w:t>3. 各专项规划负责部门要加强与学院的沟通与协调，重点解决各专项规划负责部门提交学院分解数据与各学院提交的指标分解数据不一致的问题，并</w:t>
      </w:r>
      <w:r>
        <w:rPr>
          <w:rFonts w:ascii="仿宋" w:hAnsi="仿宋" w:eastAsia="仿宋" w:cs="仿宋"/>
          <w:sz w:val="24"/>
          <w:szCs w:val="24"/>
        </w:rPr>
        <w:t>指导新设学院的相关</w:t>
      </w:r>
      <w:r>
        <w:rPr>
          <w:rFonts w:hint="eastAsia" w:ascii="仿宋" w:hAnsi="仿宋" w:eastAsia="仿宋" w:cs="仿宋"/>
          <w:sz w:val="24"/>
          <w:szCs w:val="24"/>
        </w:rPr>
        <w:t>规划进一步调整和完善学院“十四五”指标分解任务。</w:t>
      </w:r>
    </w:p>
    <w:p>
      <w:pPr>
        <w:pStyle w:val="8"/>
        <w:numPr>
          <w:ilvl w:val="0"/>
          <w:numId w:val="1"/>
        </w:numPr>
        <w:spacing w:before="156" w:beforeLines="50" w:after="156" w:afterLines="50" w:line="360" w:lineRule="auto"/>
        <w:ind w:firstLine="723" w:firstLineChars="0"/>
        <w:rPr>
          <w:rFonts w:ascii="黑体" w:hAnsi="黑体" w:eastAsia="黑体" w:cs="仿宋"/>
          <w:b/>
          <w:sz w:val="32"/>
          <w:szCs w:val="32"/>
        </w:rPr>
      </w:pPr>
      <w:r>
        <w:rPr>
          <w:rFonts w:hint="eastAsia" w:ascii="黑体" w:hAnsi="黑体" w:eastAsia="黑体" w:cs="仿宋"/>
          <w:b/>
          <w:sz w:val="32"/>
          <w:szCs w:val="32"/>
        </w:rPr>
        <w:t>进度安排</w:t>
      </w:r>
    </w:p>
    <w:p>
      <w:pPr>
        <w:spacing w:before="156" w:beforeLines="50" w:after="156" w:afterLines="50" w:line="360" w:lineRule="auto"/>
        <w:ind w:firstLine="419" w:firstLineChars="149"/>
        <w:rPr>
          <w:rFonts w:ascii="仿宋" w:hAnsi="仿宋" w:eastAsia="仿宋" w:cs="仿宋"/>
          <w:bCs/>
          <w:sz w:val="28"/>
          <w:szCs w:val="28"/>
        </w:rPr>
      </w:pPr>
      <w:r>
        <w:rPr>
          <w:rFonts w:hint="eastAsia" w:ascii="楷体" w:hAnsi="楷体" w:eastAsia="楷体" w:cs="楷体"/>
          <w:b/>
          <w:sz w:val="28"/>
          <w:szCs w:val="28"/>
        </w:rPr>
        <w:t>（一）规划调整阶段</w:t>
      </w:r>
      <w:r>
        <w:rPr>
          <w:rFonts w:hint="eastAsia" w:ascii="楷体" w:hAnsi="楷体" w:eastAsia="楷体" w:cs="楷体"/>
          <w:bCs/>
          <w:sz w:val="28"/>
          <w:szCs w:val="28"/>
        </w:rPr>
        <w:t>（2021年7月15日-2021年8月31日）</w:t>
      </w:r>
    </w:p>
    <w:p>
      <w:pPr>
        <w:pStyle w:val="8"/>
        <w:spacing w:before="156" w:beforeLines="50" w:after="156" w:afterLines="50" w:line="360" w:lineRule="auto"/>
        <w:ind w:firstLine="480"/>
        <w:rPr>
          <w:rFonts w:ascii="仿宋" w:hAnsi="仿宋" w:eastAsia="仿宋" w:cs="仿宋"/>
          <w:bCs/>
          <w:sz w:val="28"/>
          <w:szCs w:val="28"/>
        </w:rPr>
      </w:pPr>
      <w:r>
        <w:rPr>
          <w:rFonts w:hint="eastAsia" w:ascii="仿宋" w:hAnsi="仿宋" w:eastAsia="仿宋" w:cs="仿宋"/>
          <w:sz w:val="24"/>
          <w:szCs w:val="24"/>
        </w:rPr>
        <w:t>围绕本调整方案与调整依据，</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1. 各专项规划负责部门与学院充分进行沟通协调，对学院指标数据分解进行调整和完善；</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2. 需调整的</w:t>
      </w:r>
      <w:r>
        <w:rPr>
          <w:rFonts w:ascii="仿宋" w:hAnsi="仿宋" w:eastAsia="仿宋" w:cs="仿宋"/>
          <w:sz w:val="24"/>
          <w:szCs w:val="24"/>
        </w:rPr>
        <w:t>各</w:t>
      </w:r>
      <w:r>
        <w:rPr>
          <w:rFonts w:hint="eastAsia" w:ascii="仿宋" w:hAnsi="仿宋" w:eastAsia="仿宋" w:cs="仿宋"/>
          <w:sz w:val="24"/>
          <w:szCs w:val="24"/>
        </w:rPr>
        <w:t>学院对照调整内容，调整、完善和</w:t>
      </w:r>
      <w:r>
        <w:rPr>
          <w:rFonts w:ascii="仿宋" w:hAnsi="仿宋" w:eastAsia="仿宋" w:cs="仿宋"/>
          <w:sz w:val="24"/>
          <w:szCs w:val="24"/>
        </w:rPr>
        <w:t>提交</w:t>
      </w:r>
      <w:r>
        <w:rPr>
          <w:rFonts w:hint="eastAsia" w:ascii="仿宋" w:hAnsi="仿宋" w:eastAsia="仿宋" w:cs="仿宋"/>
          <w:sz w:val="24"/>
          <w:szCs w:val="24"/>
        </w:rPr>
        <w:t>学院发展规划与指标分解数据。</w:t>
      </w:r>
    </w:p>
    <w:p>
      <w:pPr>
        <w:pStyle w:val="8"/>
        <w:spacing w:before="156" w:beforeLines="50" w:after="156" w:afterLines="50" w:line="360" w:lineRule="auto"/>
        <w:ind w:firstLine="562"/>
        <w:rPr>
          <w:rFonts w:ascii="仿宋" w:hAnsi="仿宋" w:eastAsia="仿宋" w:cs="仿宋"/>
          <w:b/>
          <w:sz w:val="28"/>
          <w:szCs w:val="28"/>
        </w:rPr>
      </w:pPr>
      <w:r>
        <w:rPr>
          <w:rFonts w:hint="eastAsia" w:ascii="楷体" w:hAnsi="楷体" w:eastAsia="楷体" w:cs="楷体"/>
          <w:b/>
          <w:sz w:val="28"/>
          <w:szCs w:val="28"/>
        </w:rPr>
        <w:t>（二）规划论证与汇编</w:t>
      </w:r>
      <w:r>
        <w:rPr>
          <w:rFonts w:hint="eastAsia" w:ascii="楷体" w:hAnsi="楷体" w:eastAsia="楷体" w:cs="楷体"/>
          <w:bCs/>
          <w:sz w:val="28"/>
          <w:szCs w:val="28"/>
        </w:rPr>
        <w:t>（2021年9月1日-2021年9月20日）</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1. 各专项规划负责部门与学院将调整后的规划文本与指标分解数据汇总</w:t>
      </w:r>
      <w:r>
        <w:rPr>
          <w:rFonts w:hint="eastAsia" w:ascii="仿宋" w:hAnsi="仿宋" w:eastAsia="仿宋" w:cs="仿宋"/>
          <w:sz w:val="24"/>
          <w:szCs w:val="24"/>
          <w:lang w:eastAsia="zh-CN"/>
        </w:rPr>
        <w:t>发展规划处</w:t>
      </w:r>
      <w:r>
        <w:rPr>
          <w:rFonts w:hint="eastAsia" w:ascii="仿宋" w:hAnsi="仿宋" w:eastAsia="仿宋" w:cs="仿宋"/>
          <w:sz w:val="24"/>
          <w:szCs w:val="24"/>
        </w:rPr>
        <w:t>；</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发展规划处</w:t>
      </w:r>
      <w:r>
        <w:rPr>
          <w:rFonts w:hint="eastAsia" w:ascii="仿宋" w:hAnsi="仿宋" w:eastAsia="仿宋" w:cs="仿宋"/>
          <w:sz w:val="24"/>
          <w:szCs w:val="24"/>
        </w:rPr>
        <w:t>汇编《杭州师范大学”十四五“事业发展规划》。</w:t>
      </w:r>
    </w:p>
    <w:p>
      <w:pPr>
        <w:pStyle w:val="8"/>
        <w:spacing w:before="156" w:beforeLines="50" w:after="156" w:afterLines="50" w:line="360" w:lineRule="auto"/>
        <w:ind w:firstLine="562"/>
        <w:rPr>
          <w:rFonts w:ascii="仿宋" w:hAnsi="仿宋" w:eastAsia="仿宋" w:cs="仿宋"/>
          <w:b/>
          <w:sz w:val="28"/>
          <w:szCs w:val="28"/>
        </w:rPr>
      </w:pPr>
      <w:r>
        <w:rPr>
          <w:rFonts w:hint="eastAsia" w:ascii="楷体" w:hAnsi="楷体" w:eastAsia="楷体" w:cs="楷体"/>
          <w:b/>
          <w:sz w:val="28"/>
          <w:szCs w:val="28"/>
        </w:rPr>
        <w:t>（三）发布与实施</w:t>
      </w:r>
      <w:r>
        <w:rPr>
          <w:rFonts w:hint="eastAsia" w:ascii="楷体" w:hAnsi="楷体" w:eastAsia="楷体" w:cs="楷体"/>
          <w:bCs/>
          <w:sz w:val="28"/>
          <w:szCs w:val="28"/>
        </w:rPr>
        <w:t>（2021年9月底前）</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1.学校“十四五”规划上报。将学校“十四五”事业发展规划按程序报杭州市发改委。</w:t>
      </w:r>
    </w:p>
    <w:p>
      <w:pPr>
        <w:pStyle w:val="8"/>
        <w:spacing w:before="156" w:beforeLines="50" w:after="156" w:afterLines="50" w:line="360" w:lineRule="auto"/>
        <w:ind w:firstLine="480"/>
        <w:rPr>
          <w:rFonts w:ascii="仿宋" w:hAnsi="仿宋" w:eastAsia="仿宋" w:cs="仿宋"/>
          <w:sz w:val="24"/>
          <w:szCs w:val="24"/>
        </w:rPr>
      </w:pPr>
      <w:r>
        <w:rPr>
          <w:rFonts w:hint="eastAsia" w:ascii="仿宋" w:hAnsi="仿宋" w:eastAsia="仿宋" w:cs="仿宋"/>
          <w:sz w:val="24"/>
          <w:szCs w:val="24"/>
        </w:rPr>
        <w:t>2.面向社会发布学校“十四五”事业发展规划。</w:t>
      </w:r>
    </w:p>
    <w:p>
      <w:pPr>
        <w:pStyle w:val="8"/>
        <w:spacing w:before="156" w:beforeLines="50" w:after="156" w:afterLines="50" w:line="360" w:lineRule="auto"/>
        <w:ind w:firstLine="480"/>
        <w:rPr>
          <w:rFonts w:ascii="仿宋" w:hAnsi="仿宋" w:eastAsia="仿宋" w:cs="仿宋"/>
          <w:b/>
          <w:sz w:val="28"/>
          <w:szCs w:val="28"/>
        </w:rPr>
      </w:pPr>
      <w:r>
        <w:rPr>
          <w:rFonts w:hint="eastAsia" w:ascii="仿宋" w:hAnsi="仿宋" w:eastAsia="仿宋" w:cs="仿宋"/>
          <w:sz w:val="24"/>
          <w:szCs w:val="24"/>
        </w:rPr>
        <w:t>3.部署和实施规划。制定学校“十四五”发展规划和各专项规划实施方案，推动规划落实。</w:t>
      </w:r>
    </w:p>
    <w:p>
      <w:pPr>
        <w:pStyle w:val="8"/>
        <w:spacing w:before="156" w:beforeLines="50" w:after="156" w:afterLines="50" w:line="360" w:lineRule="auto"/>
        <w:ind w:left="0" w:leftChars="0" w:firstLine="0" w:firstLineChars="0"/>
        <w:rPr>
          <w:rFonts w:ascii="仿宋" w:hAnsi="仿宋" w:eastAsia="仿宋" w:cs="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F00EE"/>
    <w:multiLevelType w:val="multilevel"/>
    <w:tmpl w:val="0EAF00EE"/>
    <w:lvl w:ilvl="0" w:tentative="0">
      <w:start w:val="1"/>
      <w:numFmt w:val="japaneseCounting"/>
      <w:lvlText w:val="%1、"/>
      <w:lvlJc w:val="left"/>
      <w:pPr>
        <w:ind w:left="-303" w:hanging="720"/>
      </w:pPr>
      <w:rPr>
        <w:rFonts w:hint="default"/>
      </w:rPr>
    </w:lvl>
    <w:lvl w:ilvl="1" w:tentative="0">
      <w:start w:val="1"/>
      <w:numFmt w:val="lowerLetter"/>
      <w:lvlText w:val="%2)"/>
      <w:lvlJc w:val="left"/>
      <w:pPr>
        <w:ind w:left="-183" w:hanging="420"/>
      </w:pPr>
    </w:lvl>
    <w:lvl w:ilvl="2" w:tentative="0">
      <w:start w:val="1"/>
      <w:numFmt w:val="lowerRoman"/>
      <w:lvlText w:val="%3."/>
      <w:lvlJc w:val="right"/>
      <w:pPr>
        <w:ind w:left="237" w:hanging="420"/>
      </w:pPr>
    </w:lvl>
    <w:lvl w:ilvl="3" w:tentative="0">
      <w:start w:val="1"/>
      <w:numFmt w:val="decimal"/>
      <w:lvlText w:val="%4."/>
      <w:lvlJc w:val="left"/>
      <w:pPr>
        <w:ind w:left="657" w:hanging="420"/>
      </w:pPr>
    </w:lvl>
    <w:lvl w:ilvl="4" w:tentative="0">
      <w:start w:val="1"/>
      <w:numFmt w:val="lowerLetter"/>
      <w:lvlText w:val="%5)"/>
      <w:lvlJc w:val="left"/>
      <w:pPr>
        <w:ind w:left="1077" w:hanging="420"/>
      </w:pPr>
    </w:lvl>
    <w:lvl w:ilvl="5" w:tentative="0">
      <w:start w:val="1"/>
      <w:numFmt w:val="lowerRoman"/>
      <w:lvlText w:val="%6."/>
      <w:lvlJc w:val="right"/>
      <w:pPr>
        <w:ind w:left="1497" w:hanging="420"/>
      </w:pPr>
    </w:lvl>
    <w:lvl w:ilvl="6" w:tentative="0">
      <w:start w:val="1"/>
      <w:numFmt w:val="decimal"/>
      <w:lvlText w:val="%7."/>
      <w:lvlJc w:val="left"/>
      <w:pPr>
        <w:ind w:left="1917" w:hanging="420"/>
      </w:pPr>
    </w:lvl>
    <w:lvl w:ilvl="7" w:tentative="0">
      <w:start w:val="1"/>
      <w:numFmt w:val="lowerLetter"/>
      <w:lvlText w:val="%8)"/>
      <w:lvlJc w:val="left"/>
      <w:pPr>
        <w:ind w:left="2337" w:hanging="420"/>
      </w:pPr>
    </w:lvl>
    <w:lvl w:ilvl="8" w:tentative="0">
      <w:start w:val="1"/>
      <w:numFmt w:val="lowerRoman"/>
      <w:lvlText w:val="%9."/>
      <w:lvlJc w:val="right"/>
      <w:pPr>
        <w:ind w:left="27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B8"/>
    <w:rsid w:val="0012191C"/>
    <w:rsid w:val="001C1131"/>
    <w:rsid w:val="003D3528"/>
    <w:rsid w:val="00405388"/>
    <w:rsid w:val="004B3C4A"/>
    <w:rsid w:val="004F7155"/>
    <w:rsid w:val="00570AE5"/>
    <w:rsid w:val="005F16E7"/>
    <w:rsid w:val="00622A0C"/>
    <w:rsid w:val="00854FD5"/>
    <w:rsid w:val="00902C7A"/>
    <w:rsid w:val="009F5B50"/>
    <w:rsid w:val="00A55FC4"/>
    <w:rsid w:val="00A87BB6"/>
    <w:rsid w:val="00C138B8"/>
    <w:rsid w:val="00C718B5"/>
    <w:rsid w:val="00FF72CC"/>
    <w:rsid w:val="016B4ADE"/>
    <w:rsid w:val="01A115AB"/>
    <w:rsid w:val="01C62C60"/>
    <w:rsid w:val="02C7313C"/>
    <w:rsid w:val="03171C94"/>
    <w:rsid w:val="04537F00"/>
    <w:rsid w:val="057D7D5F"/>
    <w:rsid w:val="07012134"/>
    <w:rsid w:val="07D35A54"/>
    <w:rsid w:val="0A8C6B3C"/>
    <w:rsid w:val="0B9E77C4"/>
    <w:rsid w:val="0BF22EE1"/>
    <w:rsid w:val="0C4F0B7F"/>
    <w:rsid w:val="0C643A8D"/>
    <w:rsid w:val="0C6E00B2"/>
    <w:rsid w:val="0D4D2291"/>
    <w:rsid w:val="16011ABA"/>
    <w:rsid w:val="166A36D5"/>
    <w:rsid w:val="177D6644"/>
    <w:rsid w:val="18760976"/>
    <w:rsid w:val="1B41729B"/>
    <w:rsid w:val="1DAA7803"/>
    <w:rsid w:val="1EA073E8"/>
    <w:rsid w:val="1F1E7707"/>
    <w:rsid w:val="1FDD3C55"/>
    <w:rsid w:val="215F68E9"/>
    <w:rsid w:val="21F1768D"/>
    <w:rsid w:val="233B4AD5"/>
    <w:rsid w:val="236B2FF0"/>
    <w:rsid w:val="24971313"/>
    <w:rsid w:val="257C24A5"/>
    <w:rsid w:val="288464A1"/>
    <w:rsid w:val="28CB053D"/>
    <w:rsid w:val="29050F40"/>
    <w:rsid w:val="2A53521F"/>
    <w:rsid w:val="2ACA4183"/>
    <w:rsid w:val="2BDF6B87"/>
    <w:rsid w:val="2D6D04C9"/>
    <w:rsid w:val="2E3D15C8"/>
    <w:rsid w:val="32136A4C"/>
    <w:rsid w:val="329F58E6"/>
    <w:rsid w:val="332260D5"/>
    <w:rsid w:val="3C18069D"/>
    <w:rsid w:val="3FF17D0C"/>
    <w:rsid w:val="40E16E72"/>
    <w:rsid w:val="42FA7D98"/>
    <w:rsid w:val="44177EC2"/>
    <w:rsid w:val="46277BA2"/>
    <w:rsid w:val="478E52C5"/>
    <w:rsid w:val="4892546C"/>
    <w:rsid w:val="48AC0C9C"/>
    <w:rsid w:val="4A71109E"/>
    <w:rsid w:val="4A9A588A"/>
    <w:rsid w:val="4A9C432B"/>
    <w:rsid w:val="4E7D22F3"/>
    <w:rsid w:val="50D837B4"/>
    <w:rsid w:val="51FA01F3"/>
    <w:rsid w:val="528931D2"/>
    <w:rsid w:val="52BF0A9C"/>
    <w:rsid w:val="53766F03"/>
    <w:rsid w:val="545353BB"/>
    <w:rsid w:val="568D6CF5"/>
    <w:rsid w:val="58C437F3"/>
    <w:rsid w:val="5AB73F52"/>
    <w:rsid w:val="5E323C87"/>
    <w:rsid w:val="602E4ADB"/>
    <w:rsid w:val="62533B73"/>
    <w:rsid w:val="62A33AE4"/>
    <w:rsid w:val="63C14FC0"/>
    <w:rsid w:val="646E57E1"/>
    <w:rsid w:val="67793673"/>
    <w:rsid w:val="67FE230A"/>
    <w:rsid w:val="68CE3CB8"/>
    <w:rsid w:val="6B761553"/>
    <w:rsid w:val="73C0252A"/>
    <w:rsid w:val="76A81192"/>
    <w:rsid w:val="7BBE114A"/>
    <w:rsid w:val="7DE0748D"/>
    <w:rsid w:val="7E966E64"/>
    <w:rsid w:val="7F13689F"/>
    <w:rsid w:val="AF9B3F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rFonts w:asciiTheme="minorHAnsi" w:hAnsiTheme="minorHAnsi" w:eastAsiaTheme="minorEastAsia" w:cstheme="minorBidi"/>
      <w:kern w:val="2"/>
      <w:sz w:val="18"/>
      <w:szCs w:val="18"/>
    </w:rPr>
  </w:style>
  <w:style w:type="character" w:customStyle="1" w:styleId="10">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325</Words>
  <Characters>1857</Characters>
  <Lines>15</Lines>
  <Paragraphs>4</Paragraphs>
  <TotalTime>85</TotalTime>
  <ScaleCrop>false</ScaleCrop>
  <LinksUpToDate>false</LinksUpToDate>
  <CharactersWithSpaces>2178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2021-07-08T09:53:00Z</dcterms:created>
  <dc:creator>Admin</dc:creator>
  <cp:lastModifiedBy>王旭燕</cp:lastModifiedBy>
  <dcterms:modified xsi:type="dcterms:W3CDTF">2021-07-13T06:29:39Z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2CA6F1D8F7D5493F841A5D38335717AB</vt:lpwstr>
  </property>
</Properties>
</file>